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2F89" w:rsidRPr="00382F89" w:rsidTr="00382F89">
        <w:trPr>
          <w:tblCellSpacing w:w="0" w:type="dxa"/>
        </w:trPr>
        <w:tc>
          <w:tcPr>
            <w:tcW w:w="3348" w:type="dxa"/>
            <w:shd w:val="clear" w:color="auto" w:fill="FFFFFF"/>
            <w:tcMar>
              <w:top w:w="0" w:type="dxa"/>
              <w:left w:w="108" w:type="dxa"/>
              <w:bottom w:w="0" w:type="dxa"/>
              <w:right w:w="108" w:type="dxa"/>
            </w:tcMar>
            <w:hideMark/>
          </w:tcPr>
          <w:p w:rsidR="00382F89" w:rsidRPr="00382F89" w:rsidRDefault="00382F89" w:rsidP="00382F89">
            <w:pPr>
              <w:spacing w:after="0" w:line="234" w:lineRule="atLeast"/>
              <w:jc w:val="center"/>
              <w:rPr>
                <w:rFonts w:eastAsia="Times New Roman" w:cs="Times New Roman"/>
                <w:color w:val="000000"/>
                <w:sz w:val="24"/>
                <w:szCs w:val="24"/>
              </w:rPr>
            </w:pPr>
            <w:r w:rsidRPr="00382F89">
              <w:rPr>
                <w:rFonts w:eastAsia="Times New Roman" w:cs="Times New Roman"/>
                <w:b/>
                <w:bCs/>
                <w:color w:val="000000"/>
                <w:sz w:val="24"/>
                <w:szCs w:val="24"/>
              </w:rPr>
              <w:t>ỦY BAN NHÂN DÂN</w:t>
            </w:r>
            <w:r w:rsidRPr="00382F89">
              <w:rPr>
                <w:rFonts w:eastAsia="Times New Roman" w:cs="Times New Roman"/>
                <w:b/>
                <w:bCs/>
                <w:color w:val="000000"/>
                <w:sz w:val="24"/>
                <w:szCs w:val="24"/>
              </w:rPr>
              <w:br/>
              <w:t>TỈNH KON TUM</w:t>
            </w:r>
            <w:r w:rsidRPr="00382F89">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82F89" w:rsidRPr="00382F89" w:rsidRDefault="00382F89" w:rsidP="00382F89">
            <w:pPr>
              <w:spacing w:after="0" w:line="234" w:lineRule="atLeast"/>
              <w:jc w:val="center"/>
              <w:rPr>
                <w:rFonts w:eastAsia="Times New Roman" w:cs="Times New Roman"/>
                <w:color w:val="000000"/>
                <w:sz w:val="24"/>
                <w:szCs w:val="24"/>
              </w:rPr>
            </w:pPr>
            <w:r w:rsidRPr="00382F89">
              <w:rPr>
                <w:rFonts w:eastAsia="Times New Roman" w:cs="Times New Roman"/>
                <w:b/>
                <w:bCs/>
                <w:color w:val="000000"/>
                <w:sz w:val="24"/>
                <w:szCs w:val="24"/>
              </w:rPr>
              <w:t>CỘNG HÒA XÃ HỘI CHỦ NGHĨA VIỆT NAM</w:t>
            </w:r>
            <w:r w:rsidRPr="00382F89">
              <w:rPr>
                <w:rFonts w:eastAsia="Times New Roman" w:cs="Times New Roman"/>
                <w:b/>
                <w:bCs/>
                <w:color w:val="000000"/>
                <w:sz w:val="24"/>
                <w:szCs w:val="24"/>
              </w:rPr>
              <w:br/>
              <w:t>Độc lập - Tự do - Hạnh phúc</w:t>
            </w:r>
            <w:r w:rsidRPr="00382F89">
              <w:rPr>
                <w:rFonts w:eastAsia="Times New Roman" w:cs="Times New Roman"/>
                <w:b/>
                <w:bCs/>
                <w:color w:val="000000"/>
                <w:sz w:val="24"/>
                <w:szCs w:val="24"/>
              </w:rPr>
              <w:br/>
              <w:t>---------------</w:t>
            </w:r>
          </w:p>
        </w:tc>
      </w:tr>
      <w:tr w:rsidR="00382F89" w:rsidRPr="00382F89" w:rsidTr="00382F89">
        <w:trPr>
          <w:tblCellSpacing w:w="0" w:type="dxa"/>
        </w:trPr>
        <w:tc>
          <w:tcPr>
            <w:tcW w:w="3348" w:type="dxa"/>
            <w:shd w:val="clear" w:color="auto" w:fill="FFFFFF"/>
            <w:tcMar>
              <w:top w:w="0" w:type="dxa"/>
              <w:left w:w="108" w:type="dxa"/>
              <w:bottom w:w="0" w:type="dxa"/>
              <w:right w:w="108" w:type="dxa"/>
            </w:tcMar>
            <w:hideMark/>
          </w:tcPr>
          <w:p w:rsidR="00382F89" w:rsidRPr="00382F89" w:rsidRDefault="00382F89" w:rsidP="00382F89">
            <w:pPr>
              <w:spacing w:after="0" w:line="234" w:lineRule="atLeast"/>
              <w:jc w:val="center"/>
              <w:rPr>
                <w:rFonts w:eastAsia="Times New Roman" w:cs="Times New Roman"/>
                <w:color w:val="000000"/>
                <w:sz w:val="24"/>
                <w:szCs w:val="24"/>
              </w:rPr>
            </w:pPr>
            <w:r w:rsidRPr="00382F89">
              <w:rPr>
                <w:rFonts w:eastAsia="Times New Roman" w:cs="Times New Roman"/>
                <w:color w:val="000000"/>
                <w:sz w:val="24"/>
                <w:szCs w:val="24"/>
              </w:rPr>
              <w:t>Số: 02/2014/QĐ-UBND</w:t>
            </w:r>
          </w:p>
        </w:tc>
        <w:tc>
          <w:tcPr>
            <w:tcW w:w="5508" w:type="dxa"/>
            <w:shd w:val="clear" w:color="auto" w:fill="FFFFFF"/>
            <w:tcMar>
              <w:top w:w="0" w:type="dxa"/>
              <w:left w:w="108" w:type="dxa"/>
              <w:bottom w:w="0" w:type="dxa"/>
              <w:right w:w="108" w:type="dxa"/>
            </w:tcMar>
            <w:hideMark/>
          </w:tcPr>
          <w:p w:rsidR="00382F89" w:rsidRPr="00382F89" w:rsidRDefault="00382F89" w:rsidP="00382F89">
            <w:pPr>
              <w:spacing w:after="0" w:line="234" w:lineRule="atLeast"/>
              <w:jc w:val="right"/>
              <w:rPr>
                <w:rFonts w:eastAsia="Times New Roman" w:cs="Times New Roman"/>
                <w:color w:val="000000"/>
                <w:sz w:val="24"/>
                <w:szCs w:val="24"/>
              </w:rPr>
            </w:pPr>
            <w:r w:rsidRPr="00382F89">
              <w:rPr>
                <w:rFonts w:eastAsia="Times New Roman" w:cs="Times New Roman"/>
                <w:i/>
                <w:iCs/>
                <w:color w:val="000000"/>
                <w:sz w:val="24"/>
                <w:szCs w:val="24"/>
              </w:rPr>
              <w:t>Kon Tum, ngày 25 tháng 01 năm 2014</w:t>
            </w:r>
          </w:p>
        </w:tc>
      </w:tr>
    </w:tbl>
    <w:p w:rsidR="00382F89" w:rsidRPr="00382F89" w:rsidRDefault="00382F89" w:rsidP="00382F89">
      <w:pPr>
        <w:shd w:val="clear" w:color="auto" w:fill="FFFFFF"/>
        <w:spacing w:after="0" w:line="234" w:lineRule="atLeast"/>
        <w:rPr>
          <w:rFonts w:eastAsia="Times New Roman" w:cs="Times New Roman"/>
          <w:color w:val="000000"/>
          <w:sz w:val="24"/>
          <w:szCs w:val="24"/>
        </w:rPr>
      </w:pPr>
      <w:r w:rsidRPr="00382F89">
        <w:rPr>
          <w:rFonts w:eastAsia="Times New Roman" w:cs="Times New Roman"/>
          <w:i/>
          <w:iCs/>
          <w:color w:val="000000"/>
          <w:sz w:val="18"/>
          <w:szCs w:val="18"/>
        </w:rPr>
        <w:t> </w:t>
      </w:r>
    </w:p>
    <w:p w:rsidR="00382F89" w:rsidRPr="00382F89" w:rsidRDefault="00382F89" w:rsidP="00382F89">
      <w:pPr>
        <w:shd w:val="clear" w:color="auto" w:fill="FFFFFF"/>
        <w:spacing w:after="0" w:line="234" w:lineRule="atLeast"/>
        <w:jc w:val="center"/>
        <w:rPr>
          <w:rFonts w:eastAsia="Times New Roman" w:cs="Times New Roman"/>
          <w:color w:val="000000"/>
          <w:sz w:val="24"/>
          <w:szCs w:val="24"/>
        </w:rPr>
      </w:pPr>
      <w:r w:rsidRPr="00382F89">
        <w:rPr>
          <w:rFonts w:eastAsia="Times New Roman" w:cs="Times New Roman"/>
          <w:b/>
          <w:bCs/>
          <w:color w:val="000000"/>
          <w:sz w:val="24"/>
          <w:szCs w:val="24"/>
        </w:rPr>
        <w:t>QUYẾT ĐỊNH</w:t>
      </w:r>
    </w:p>
    <w:p w:rsidR="00382F89" w:rsidRDefault="00382F89" w:rsidP="00382F89">
      <w:pPr>
        <w:shd w:val="clear" w:color="auto" w:fill="FFFFFF"/>
        <w:spacing w:after="0" w:line="234" w:lineRule="atLeast"/>
        <w:jc w:val="center"/>
        <w:rPr>
          <w:rFonts w:eastAsia="Times New Roman" w:cs="Times New Roman"/>
          <w:color w:val="000000"/>
          <w:sz w:val="24"/>
          <w:szCs w:val="24"/>
        </w:rPr>
      </w:pPr>
      <w:r w:rsidRPr="00382F89">
        <w:rPr>
          <w:rFonts w:eastAsia="Times New Roman" w:cs="Times New Roman"/>
          <w:color w:val="000000"/>
          <w:sz w:val="24"/>
          <w:szCs w:val="24"/>
        </w:rPr>
        <w:t>VỀ QUY ĐỊNH CHẾ ĐỘ CHI TIÊU TÀI CHÍNH TỔ CHỨC</w:t>
      </w:r>
    </w:p>
    <w:p w:rsidR="00382F89" w:rsidRPr="00382F89" w:rsidRDefault="00382F89" w:rsidP="00382F89">
      <w:pPr>
        <w:shd w:val="clear" w:color="auto" w:fill="FFFFFF"/>
        <w:spacing w:after="0" w:line="234" w:lineRule="atLeast"/>
        <w:jc w:val="center"/>
        <w:rPr>
          <w:rFonts w:eastAsia="Times New Roman" w:cs="Times New Roman"/>
          <w:color w:val="000000"/>
          <w:sz w:val="24"/>
          <w:szCs w:val="24"/>
        </w:rPr>
      </w:pPr>
      <w:r w:rsidRPr="00382F89">
        <w:rPr>
          <w:rFonts w:eastAsia="Times New Roman" w:cs="Times New Roman"/>
          <w:color w:val="000000"/>
          <w:sz w:val="24"/>
          <w:szCs w:val="24"/>
        </w:rPr>
        <w:t xml:space="preserve"> CÁC GIẢI THI ĐẤU THỂ THAO TỈNH KON TUM</w:t>
      </w:r>
    </w:p>
    <w:p w:rsidR="00382F89" w:rsidRPr="00382F89" w:rsidRDefault="00382F89" w:rsidP="00382F89">
      <w:pPr>
        <w:shd w:val="clear" w:color="auto" w:fill="FFFFFF"/>
        <w:spacing w:before="240" w:after="120" w:line="234" w:lineRule="atLeast"/>
        <w:jc w:val="center"/>
        <w:rPr>
          <w:rFonts w:eastAsia="Times New Roman" w:cs="Times New Roman"/>
          <w:color w:val="000000"/>
          <w:sz w:val="24"/>
          <w:szCs w:val="24"/>
        </w:rPr>
      </w:pPr>
      <w:bookmarkStart w:id="0" w:name="_GoBack"/>
      <w:bookmarkEnd w:id="0"/>
      <w:r w:rsidRPr="00382F89">
        <w:rPr>
          <w:rFonts w:eastAsia="Times New Roman" w:cs="Times New Roman"/>
          <w:b/>
          <w:bCs/>
          <w:color w:val="000000"/>
          <w:sz w:val="24"/>
          <w:szCs w:val="24"/>
        </w:rPr>
        <w:t>ỦY BAN NHÂN DÂN TỈNH KON TUM</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i/>
          <w:iCs/>
          <w:color w:val="000000"/>
          <w:sz w:val="24"/>
          <w:szCs w:val="24"/>
        </w:rPr>
        <w:t>Căn cứ Luật tổ chức Hội đồng nhân dân và Ủy ban nhân dân ngày 26/11/2003;</w:t>
      </w:r>
    </w:p>
    <w:p w:rsidR="00382F89" w:rsidRPr="00382F89" w:rsidRDefault="00382F89" w:rsidP="00382F89">
      <w:pPr>
        <w:shd w:val="clear" w:color="auto" w:fill="FFFFFF"/>
        <w:spacing w:after="0" w:line="234" w:lineRule="atLeast"/>
        <w:ind w:firstLine="567"/>
        <w:rPr>
          <w:rFonts w:eastAsia="Times New Roman" w:cs="Times New Roman"/>
          <w:color w:val="000000"/>
          <w:sz w:val="24"/>
          <w:szCs w:val="24"/>
        </w:rPr>
      </w:pPr>
      <w:r w:rsidRPr="00382F89">
        <w:rPr>
          <w:rFonts w:eastAsia="Times New Roman" w:cs="Times New Roman"/>
          <w:i/>
          <w:iCs/>
          <w:color w:val="000000"/>
          <w:sz w:val="24"/>
          <w:szCs w:val="24"/>
        </w:rPr>
        <w:t>Căn cứ Thông tư liên tịch số </w:t>
      </w:r>
      <w:hyperlink r:id="rId5" w:tgtFrame="_blank" w:tooltip="Thông tư liên tịch 200/2011/TTLT-BTC-BVHTTDL" w:history="1">
        <w:r w:rsidRPr="00382F89">
          <w:rPr>
            <w:rFonts w:eastAsia="Times New Roman" w:cs="Times New Roman"/>
            <w:i/>
            <w:iCs/>
            <w:color w:val="0E70C3"/>
            <w:sz w:val="24"/>
            <w:szCs w:val="24"/>
          </w:rPr>
          <w:t>200/2011/TTLT-BTC-BVHTTDL</w:t>
        </w:r>
      </w:hyperlink>
      <w:r w:rsidRPr="00382F89">
        <w:rPr>
          <w:rFonts w:eastAsia="Times New Roman" w:cs="Times New Roman"/>
          <w:i/>
          <w:iCs/>
          <w:color w:val="000000"/>
          <w:sz w:val="24"/>
          <w:szCs w:val="24"/>
        </w:rPr>
        <w:t> ngày 30/12/2011 của Bộ Tài chính và Bộ Văn hóa, Thể thao và Du lịch quy định chế độ chi tiêu tài chính đối với các giải thi đấu thể thao;</w:t>
      </w:r>
    </w:p>
    <w:p w:rsidR="00382F89" w:rsidRPr="00382F89" w:rsidRDefault="00382F89" w:rsidP="00382F89">
      <w:pPr>
        <w:shd w:val="clear" w:color="auto" w:fill="FFFFFF"/>
        <w:spacing w:after="0" w:line="234" w:lineRule="atLeast"/>
        <w:ind w:firstLine="567"/>
        <w:rPr>
          <w:rFonts w:eastAsia="Times New Roman" w:cs="Times New Roman"/>
          <w:color w:val="000000"/>
          <w:sz w:val="24"/>
          <w:szCs w:val="24"/>
        </w:rPr>
      </w:pPr>
      <w:r w:rsidRPr="00382F89">
        <w:rPr>
          <w:rFonts w:eastAsia="Times New Roman" w:cs="Times New Roman"/>
          <w:i/>
          <w:iCs/>
          <w:color w:val="000000"/>
          <w:sz w:val="24"/>
          <w:szCs w:val="24"/>
        </w:rPr>
        <w:t>Căn cứ Nghị quyết số </w:t>
      </w:r>
      <w:hyperlink r:id="rId6" w:tgtFrame="_blank" w:tooltip="28/2013/NQ-HĐND" w:history="1">
        <w:r w:rsidRPr="00382F89">
          <w:rPr>
            <w:rFonts w:eastAsia="Times New Roman" w:cs="Times New Roman"/>
            <w:i/>
            <w:iCs/>
            <w:color w:val="0E70C3"/>
            <w:sz w:val="24"/>
            <w:szCs w:val="24"/>
          </w:rPr>
          <w:t>28/2013/NQ-HĐND</w:t>
        </w:r>
      </w:hyperlink>
      <w:r w:rsidRPr="00382F89">
        <w:rPr>
          <w:rFonts w:eastAsia="Times New Roman" w:cs="Times New Roman"/>
          <w:i/>
          <w:iCs/>
          <w:color w:val="000000"/>
          <w:sz w:val="24"/>
          <w:szCs w:val="24"/>
        </w:rPr>
        <w:t> ngày 11/12/2013 của Hội đồng nhân dân tỉnh khóa X, kỳ họp thứ 7 về quy định chế độ chi tiêu tài chính tổ chức các giải thi đấu thể thao tỉnh Kon Tum;</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i/>
          <w:iCs/>
          <w:color w:val="000000"/>
          <w:sz w:val="24"/>
          <w:szCs w:val="24"/>
        </w:rPr>
        <w:t>Xét đề nghị của Giám đốc Sở Văn hóa, Thể thao và Du lịch,</w:t>
      </w:r>
    </w:p>
    <w:p w:rsidR="00382F89" w:rsidRPr="00382F89" w:rsidRDefault="00382F89" w:rsidP="00382F89">
      <w:pPr>
        <w:shd w:val="clear" w:color="auto" w:fill="FFFFFF"/>
        <w:spacing w:before="120" w:after="120" w:line="234" w:lineRule="atLeast"/>
        <w:jc w:val="center"/>
        <w:rPr>
          <w:rFonts w:eastAsia="Times New Roman" w:cs="Times New Roman"/>
          <w:color w:val="000000"/>
          <w:sz w:val="24"/>
          <w:szCs w:val="24"/>
        </w:rPr>
      </w:pPr>
      <w:r w:rsidRPr="00382F89">
        <w:rPr>
          <w:rFonts w:eastAsia="Times New Roman" w:cs="Times New Roman"/>
          <w:b/>
          <w:bCs/>
          <w:color w:val="000000"/>
          <w:sz w:val="24"/>
          <w:szCs w:val="24"/>
        </w:rPr>
        <w:t>QUYẾT ĐỊNH:</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b/>
          <w:bCs/>
          <w:color w:val="000000"/>
          <w:sz w:val="24"/>
          <w:szCs w:val="24"/>
        </w:rPr>
        <w:t>Điều 1. </w:t>
      </w:r>
      <w:r w:rsidRPr="00382F89">
        <w:rPr>
          <w:rFonts w:eastAsia="Times New Roman" w:cs="Times New Roman"/>
          <w:color w:val="000000"/>
          <w:sz w:val="24"/>
          <w:szCs w:val="24"/>
        </w:rPr>
        <w:t>Áp dụng chế độ chi tiêu tài chính tổ chức các giải thi đấu thể thao tỉnh Kon Tum, cụ thể như sau:</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b/>
          <w:bCs/>
          <w:color w:val="000000"/>
          <w:sz w:val="24"/>
          <w:szCs w:val="24"/>
        </w:rPr>
        <w:t>1. Đối với cấp tỉnh:</w:t>
      </w:r>
    </w:p>
    <w:p w:rsidR="00382F89" w:rsidRPr="00382F89" w:rsidRDefault="00382F89" w:rsidP="00382F89">
      <w:pPr>
        <w:shd w:val="clear" w:color="auto" w:fill="FFFFFF"/>
        <w:spacing w:before="120" w:after="120" w:line="198" w:lineRule="atLeast"/>
        <w:ind w:firstLine="567"/>
        <w:rPr>
          <w:rFonts w:eastAsia="Times New Roman" w:cs="Times New Roman"/>
          <w:color w:val="000000"/>
          <w:sz w:val="24"/>
          <w:szCs w:val="24"/>
        </w:rPr>
      </w:pPr>
      <w:r w:rsidRPr="00382F89">
        <w:rPr>
          <w:rFonts w:eastAsia="Times New Roman" w:cs="Times New Roman"/>
          <w:color w:val="000000"/>
          <w:sz w:val="24"/>
          <w:szCs w:val="24"/>
        </w:rPr>
        <w:t>1. 1. Thành viên Ban chỉ đạo, Ban tổ chức, các tiểu ban, trọng tài, giám sát điều hành, thư ký các giải thi đấu thể thao, hội thi thể thao, Đại hội thể dục thể thao, giải thi đấu thể thao dành cho người khuyết tật:</w:t>
      </w:r>
    </w:p>
    <w:p w:rsidR="00382F89" w:rsidRPr="00382F89" w:rsidRDefault="00382F89" w:rsidP="00382F89">
      <w:pPr>
        <w:shd w:val="clear" w:color="auto" w:fill="FFFFFF"/>
        <w:spacing w:before="120" w:after="120" w:line="198" w:lineRule="atLeast"/>
        <w:ind w:firstLine="567"/>
        <w:rPr>
          <w:rFonts w:eastAsia="Times New Roman" w:cs="Times New Roman"/>
          <w:color w:val="000000"/>
          <w:sz w:val="24"/>
          <w:szCs w:val="24"/>
        </w:rPr>
      </w:pPr>
      <w:r w:rsidRPr="00382F89">
        <w:rPr>
          <w:rFonts w:eastAsia="Times New Roman" w:cs="Times New Roman"/>
          <w:color w:val="000000"/>
          <w:sz w:val="24"/>
          <w:szCs w:val="24"/>
        </w:rPr>
        <w:t>a. Tiền ăn: 150.000 đồng/người/ngày (bao gồm cả thời gian tối đa 02 ngày trước ngày thi đấu để làm công tác chuẩn bị tổ chức giải, tập huấn trọng tài và 01 ngày sau thi đấu).</w:t>
      </w:r>
    </w:p>
    <w:p w:rsidR="00382F89" w:rsidRPr="00382F89" w:rsidRDefault="00382F89" w:rsidP="00382F89">
      <w:pPr>
        <w:shd w:val="clear" w:color="auto" w:fill="FFFFFF"/>
        <w:spacing w:before="120" w:after="120" w:line="198" w:lineRule="atLeast"/>
        <w:ind w:firstLine="567"/>
        <w:rPr>
          <w:rFonts w:eastAsia="Times New Roman" w:cs="Times New Roman"/>
          <w:color w:val="000000"/>
          <w:sz w:val="24"/>
          <w:szCs w:val="24"/>
        </w:rPr>
      </w:pPr>
      <w:r w:rsidRPr="00382F89">
        <w:rPr>
          <w:rFonts w:eastAsia="Times New Roman" w:cs="Times New Roman"/>
          <w:color w:val="000000"/>
          <w:sz w:val="24"/>
          <w:szCs w:val="24"/>
        </w:rPr>
        <w:t>b. Tiền bồi dưỡng làm nhiệm vụ (được tính theo ngày làm việc thực tế, hoặc theo buổi thi đấu, trận thi đấu thực tế. Đối với các đối tượng mà tiền bồi dưỡng không tính được theo ngày làm việc mà tính theo buổi thi đấu hoặc trận đấu, thì mức thanh toán được tính theo mức thực tế, nhưng tối đa không được vượt quá 3 buổi hoặc 3 trận đấu/người/ngày). Mức chi cụ thể như sau:</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color w:val="000000"/>
          <w:sz w:val="24"/>
          <w:szCs w:val="24"/>
        </w:rPr>
        <w:t>- Ban chỉ đạo, Ban tổ chức, Trưởng, phó các tiểu ban chuyên môn: 80.000 đồng/người/ngày.</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color w:val="000000"/>
          <w:sz w:val="24"/>
          <w:szCs w:val="24"/>
        </w:rPr>
        <w:t>- Thành viên tiểu ban chuyên môn: 60.000 đồng/người/ngày.</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color w:val="000000"/>
          <w:sz w:val="24"/>
          <w:szCs w:val="24"/>
        </w:rPr>
        <w:t>- Giám sát, trọng tài chính: 60.000 đồng/người/buổi.</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color w:val="000000"/>
          <w:sz w:val="24"/>
          <w:szCs w:val="24"/>
        </w:rPr>
        <w:t>- Thư ký, trọng tài khác: 50.000 đồng/người/buổi.</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color w:val="000000"/>
          <w:sz w:val="24"/>
          <w:szCs w:val="24"/>
        </w:rPr>
        <w:t>- Công an, y tế: 45.000 đồng/người/buổi.</w:t>
      </w:r>
    </w:p>
    <w:p w:rsidR="00382F89" w:rsidRPr="00382F89" w:rsidRDefault="00382F89" w:rsidP="00382F89">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color w:val="000000"/>
          <w:sz w:val="24"/>
          <w:szCs w:val="24"/>
        </w:rPr>
        <w:t>- Lực lượng làm nhiệm vụ trật tự, bảo vệ, nhân viên phục vụ: 45.000 đồng/người/buổi.</w:t>
      </w:r>
    </w:p>
    <w:p w:rsidR="00382F89" w:rsidRPr="00382F89" w:rsidRDefault="00382F89" w:rsidP="00382F89">
      <w:pPr>
        <w:shd w:val="clear" w:color="auto" w:fill="FFFFFF"/>
        <w:spacing w:before="120" w:after="120" w:line="198" w:lineRule="atLeast"/>
        <w:ind w:firstLine="567"/>
        <w:rPr>
          <w:rFonts w:eastAsia="Times New Roman" w:cs="Times New Roman"/>
          <w:color w:val="000000"/>
          <w:sz w:val="24"/>
          <w:szCs w:val="24"/>
        </w:rPr>
      </w:pPr>
      <w:r w:rsidRPr="00382F89">
        <w:rPr>
          <w:rFonts w:eastAsia="Times New Roman" w:cs="Times New Roman"/>
          <w:color w:val="000000"/>
          <w:sz w:val="24"/>
          <w:szCs w:val="24"/>
        </w:rPr>
        <w:t>1. 2. Mức chi tổ chức đồng diễn, diễu hành, xếp hình, xếp chữ đối với Đại hội thể dục thể thao, Hội thi thể thao:</w:t>
      </w:r>
    </w:p>
    <w:p w:rsidR="00382F89" w:rsidRPr="00382F89" w:rsidRDefault="00382F89" w:rsidP="00382F89">
      <w:pPr>
        <w:shd w:val="clear" w:color="auto" w:fill="FFFFFF"/>
        <w:spacing w:after="0" w:line="200" w:lineRule="atLeast"/>
        <w:ind w:firstLine="567"/>
        <w:rPr>
          <w:rFonts w:eastAsia="Times New Roman" w:cs="Times New Roman"/>
          <w:color w:val="000000"/>
          <w:sz w:val="24"/>
          <w:szCs w:val="24"/>
        </w:rPr>
      </w:pPr>
      <w:bookmarkStart w:id="1" w:name="diem_a"/>
      <w:r w:rsidRPr="00382F89">
        <w:rPr>
          <w:rFonts w:eastAsia="Times New Roman" w:cs="Times New Roman"/>
          <w:color w:val="000000"/>
          <w:sz w:val="24"/>
          <w:szCs w:val="24"/>
          <w:shd w:val="clear" w:color="auto" w:fill="FFFF96"/>
        </w:rPr>
        <w:t>a. Mức chi sáng tác, dàn dựng, đạo diễn các màn đồng diễn: Thanh toán theo hợp đồng kinh tế giữa Ban tổ chức với các tổ chức hoặc cá nhân, mức chi căn cứ Nghị định số </w:t>
      </w:r>
      <w:bookmarkEnd w:id="1"/>
      <w:r w:rsidRPr="00382F89">
        <w:rPr>
          <w:rFonts w:eastAsia="Times New Roman" w:cs="Times New Roman"/>
          <w:color w:val="000000"/>
          <w:sz w:val="24"/>
          <w:szCs w:val="24"/>
        </w:rPr>
        <w:fldChar w:fldCharType="begin"/>
      </w:r>
      <w:r w:rsidRPr="00382F89">
        <w:rPr>
          <w:rFonts w:eastAsia="Times New Roman" w:cs="Times New Roman"/>
          <w:color w:val="000000"/>
          <w:sz w:val="24"/>
          <w:szCs w:val="24"/>
        </w:rPr>
        <w:instrText xml:space="preserve"> HYPERLINK "https://thuvienphapluat.vn/van-ban/lao-dong-tien-luong/nghi-dinh-61-2002-nd-cp-che-do-nhuan-but-49523.aspx" \o "Nghị định 61/2002/NĐ-CP" \t "_blank" </w:instrText>
      </w:r>
      <w:r w:rsidRPr="00382F89">
        <w:rPr>
          <w:rFonts w:eastAsia="Times New Roman" w:cs="Times New Roman"/>
          <w:color w:val="000000"/>
          <w:sz w:val="24"/>
          <w:szCs w:val="24"/>
        </w:rPr>
        <w:fldChar w:fldCharType="separate"/>
      </w:r>
      <w:r w:rsidRPr="00382F89">
        <w:rPr>
          <w:rFonts w:eastAsia="Times New Roman" w:cs="Times New Roman"/>
          <w:color w:val="0E70C3"/>
          <w:sz w:val="24"/>
          <w:szCs w:val="24"/>
        </w:rPr>
        <w:t>61/2002/NĐ-CP</w:t>
      </w:r>
      <w:r w:rsidRPr="00382F89">
        <w:rPr>
          <w:rFonts w:eastAsia="Times New Roman" w:cs="Times New Roman"/>
          <w:color w:val="000000"/>
          <w:sz w:val="24"/>
          <w:szCs w:val="24"/>
        </w:rPr>
        <w:fldChar w:fldCharType="end"/>
      </w:r>
      <w:r w:rsidRPr="00382F89">
        <w:rPr>
          <w:rFonts w:eastAsia="Times New Roman" w:cs="Times New Roman"/>
          <w:color w:val="000000"/>
          <w:sz w:val="24"/>
          <w:szCs w:val="24"/>
        </w:rPr>
        <w:t xml:space="preserve"> ngày 11/6/2002 của Chính phủ quy định chế độ nhuận bút và Thông tư liên tịch số 21/2003/TTLT-VHTT-BTC ngày 01/7/2003 của Bộ Văn hóa Thông tin và Bộ Tài </w:t>
      </w:r>
      <w:r w:rsidRPr="00382F89">
        <w:rPr>
          <w:rFonts w:eastAsia="Times New Roman" w:cs="Times New Roman"/>
          <w:color w:val="000000"/>
          <w:sz w:val="24"/>
          <w:szCs w:val="24"/>
        </w:rPr>
        <w:lastRenderedPageBreak/>
        <w:t>chính về việc hướng dẫn chi trả chế độ nhuận bút, trích lập và sử dụng quỹ nhuận bút cho một số tác phẩm được quy định tại Nghị định số </w:t>
      </w:r>
      <w:hyperlink r:id="rId7" w:tgtFrame="_blank" w:tooltip="Nghị định 61/2002/NĐ-CP" w:history="1">
        <w:r w:rsidRPr="00382F89">
          <w:rPr>
            <w:rFonts w:eastAsia="Times New Roman" w:cs="Times New Roman"/>
            <w:color w:val="0E70C3"/>
            <w:sz w:val="24"/>
            <w:szCs w:val="24"/>
          </w:rPr>
          <w:t>61/2002/NĐ-CP</w:t>
        </w:r>
      </w:hyperlink>
      <w:r w:rsidRPr="00382F89">
        <w:rPr>
          <w:rFonts w:eastAsia="Times New Roman" w:cs="Times New Roman"/>
          <w:color w:val="000000"/>
          <w:sz w:val="24"/>
          <w:szCs w:val="24"/>
        </w:rPr>
        <w:t> .</w:t>
      </w:r>
    </w:p>
    <w:p w:rsidR="00382F89" w:rsidRPr="00382F89" w:rsidRDefault="00382F89" w:rsidP="00382F89">
      <w:pPr>
        <w:shd w:val="clear" w:color="auto" w:fill="FFFFFF"/>
        <w:spacing w:before="120" w:after="120" w:line="340" w:lineRule="atLeast"/>
        <w:ind w:firstLine="567"/>
        <w:rPr>
          <w:rFonts w:eastAsia="Times New Roman" w:cs="Times New Roman"/>
          <w:color w:val="000000"/>
          <w:sz w:val="24"/>
          <w:szCs w:val="24"/>
        </w:rPr>
      </w:pPr>
      <w:r w:rsidRPr="00382F89">
        <w:rPr>
          <w:rFonts w:eastAsia="Times New Roman" w:cs="Times New Roman"/>
          <w:color w:val="000000"/>
          <w:sz w:val="24"/>
          <w:szCs w:val="24"/>
        </w:rPr>
        <w:t>b. Mức chi bồi dưỡng đối tượng tham gia đồng diễn, diễu hành, xếp hình, xếp chữ:</w:t>
      </w:r>
    </w:p>
    <w:p w:rsidR="00382F89" w:rsidRPr="00382F89" w:rsidRDefault="00382F89" w:rsidP="00382F89">
      <w:pPr>
        <w:shd w:val="clear" w:color="auto" w:fill="FFFFFF"/>
        <w:spacing w:before="120" w:after="120" w:line="234" w:lineRule="atLeast"/>
        <w:jc w:val="right"/>
        <w:rPr>
          <w:rFonts w:eastAsia="Times New Roman" w:cs="Times New Roman"/>
          <w:color w:val="000000"/>
          <w:sz w:val="18"/>
          <w:szCs w:val="18"/>
        </w:rPr>
      </w:pPr>
      <w:r w:rsidRPr="00382F89">
        <w:rPr>
          <w:rFonts w:eastAsia="Times New Roman" w:cs="Times New Roman"/>
          <w:i/>
          <w:iCs/>
          <w:color w:val="000000"/>
          <w:sz w:val="18"/>
          <w:szCs w:val="18"/>
        </w:rPr>
        <w:t>Đơn vị tính: Đồng/người/buổi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382F89" w:rsidRPr="00382F89" w:rsidTr="00382F89">
        <w:trPr>
          <w:tblCellSpacing w:w="0" w:type="dxa"/>
        </w:trPr>
        <w:tc>
          <w:tcPr>
            <w:tcW w:w="4262" w:type="dxa"/>
            <w:tcBorders>
              <w:top w:val="single" w:sz="8" w:space="0" w:color="auto"/>
              <w:left w:val="single" w:sz="8" w:space="0" w:color="auto"/>
              <w:bottom w:val="single" w:sz="8" w:space="0" w:color="auto"/>
              <w:right w:val="single" w:sz="8" w:space="0" w:color="auto"/>
            </w:tcBorders>
            <w:shd w:val="clear" w:color="auto" w:fill="FFFFFF"/>
            <w:hideMark/>
          </w:tcPr>
          <w:p w:rsidR="00382F89" w:rsidRPr="00382F89" w:rsidRDefault="00382F89" w:rsidP="00382F89">
            <w:pPr>
              <w:spacing w:before="120" w:after="120" w:line="234" w:lineRule="atLeast"/>
              <w:jc w:val="center"/>
              <w:rPr>
                <w:rFonts w:eastAsia="Times New Roman" w:cs="Times New Roman"/>
                <w:color w:val="000000"/>
                <w:sz w:val="18"/>
                <w:szCs w:val="18"/>
              </w:rPr>
            </w:pPr>
            <w:r w:rsidRPr="00382F89">
              <w:rPr>
                <w:rFonts w:eastAsia="Times New Roman" w:cs="Times New Roman"/>
                <w:b/>
                <w:bCs/>
                <w:color w:val="000000"/>
                <w:sz w:val="18"/>
                <w:szCs w:val="18"/>
              </w:rPr>
              <w:t>Nội dung</w:t>
            </w:r>
          </w:p>
        </w:tc>
        <w:tc>
          <w:tcPr>
            <w:tcW w:w="4263" w:type="dxa"/>
            <w:tcBorders>
              <w:top w:val="single" w:sz="8" w:space="0" w:color="auto"/>
              <w:left w:val="nil"/>
              <w:bottom w:val="single" w:sz="8" w:space="0" w:color="auto"/>
              <w:right w:val="single" w:sz="8" w:space="0" w:color="auto"/>
            </w:tcBorders>
            <w:shd w:val="clear" w:color="auto" w:fill="FFFFFF"/>
            <w:hideMark/>
          </w:tcPr>
          <w:p w:rsidR="00382F89" w:rsidRPr="00382F89" w:rsidRDefault="00382F89" w:rsidP="00382F89">
            <w:pPr>
              <w:spacing w:before="120" w:after="120" w:line="234" w:lineRule="atLeast"/>
              <w:jc w:val="center"/>
              <w:rPr>
                <w:rFonts w:eastAsia="Times New Roman" w:cs="Times New Roman"/>
                <w:color w:val="000000"/>
                <w:sz w:val="18"/>
                <w:szCs w:val="18"/>
              </w:rPr>
            </w:pPr>
            <w:r w:rsidRPr="00382F89">
              <w:rPr>
                <w:rFonts w:eastAsia="Times New Roman" w:cs="Times New Roman"/>
                <w:b/>
                <w:bCs/>
                <w:color w:val="000000"/>
                <w:sz w:val="18"/>
                <w:szCs w:val="18"/>
              </w:rPr>
              <w:t>Mức chi</w:t>
            </w:r>
          </w:p>
        </w:tc>
      </w:tr>
      <w:tr w:rsidR="00382F89" w:rsidRPr="00382F89" w:rsidTr="00382F89">
        <w:trPr>
          <w:tblCellSpacing w:w="0" w:type="dxa"/>
        </w:trPr>
        <w:tc>
          <w:tcPr>
            <w:tcW w:w="4262" w:type="dxa"/>
            <w:tcBorders>
              <w:top w:val="single" w:sz="8" w:space="0" w:color="auto"/>
              <w:left w:val="single" w:sz="8" w:space="0" w:color="auto"/>
              <w:bottom w:val="single" w:sz="8" w:space="0" w:color="auto"/>
              <w:right w:val="single" w:sz="8" w:space="0" w:color="auto"/>
            </w:tcBorders>
            <w:shd w:val="clear" w:color="auto" w:fill="FFFFFF"/>
          </w:tcPr>
          <w:p w:rsidR="00382F89" w:rsidRPr="00382F89" w:rsidRDefault="00382F89" w:rsidP="00382F89">
            <w:pPr>
              <w:shd w:val="clear" w:color="auto" w:fill="FFFFFF"/>
              <w:spacing w:before="120" w:after="120" w:line="340" w:lineRule="atLeast"/>
              <w:rPr>
                <w:rFonts w:eastAsia="Times New Roman" w:cs="Times New Roman"/>
                <w:color w:val="000000"/>
                <w:sz w:val="18"/>
                <w:szCs w:val="18"/>
              </w:rPr>
            </w:pPr>
            <w:r w:rsidRPr="00382F89">
              <w:rPr>
                <w:rFonts w:eastAsia="Times New Roman" w:cs="Times New Roman"/>
                <w:color w:val="000000"/>
                <w:sz w:val="18"/>
                <w:szCs w:val="18"/>
              </w:rPr>
              <w:t>1. Người tập</w:t>
            </w:r>
          </w:p>
        </w:tc>
        <w:tc>
          <w:tcPr>
            <w:tcW w:w="4263" w:type="dxa"/>
            <w:tcBorders>
              <w:top w:val="single" w:sz="8" w:space="0" w:color="auto"/>
              <w:left w:val="nil"/>
              <w:bottom w:val="single" w:sz="8" w:space="0" w:color="auto"/>
              <w:right w:val="single" w:sz="8" w:space="0" w:color="auto"/>
            </w:tcBorders>
            <w:shd w:val="clear" w:color="auto" w:fill="FFFFFF"/>
          </w:tcPr>
          <w:p w:rsidR="00382F89" w:rsidRPr="00382F89" w:rsidRDefault="00382F89" w:rsidP="00382F89">
            <w:pPr>
              <w:spacing w:before="120" w:after="120" w:line="234" w:lineRule="atLeast"/>
              <w:jc w:val="center"/>
              <w:rPr>
                <w:rFonts w:eastAsia="Times New Roman" w:cs="Times New Roman"/>
                <w:b/>
                <w:bCs/>
                <w:color w:val="000000"/>
                <w:sz w:val="18"/>
                <w:szCs w:val="18"/>
              </w:rPr>
            </w:pPr>
          </w:p>
        </w:tc>
      </w:tr>
      <w:tr w:rsidR="00382F89" w:rsidRPr="00382F89" w:rsidTr="00382F89">
        <w:trPr>
          <w:tblCellSpacing w:w="0" w:type="dxa"/>
        </w:trPr>
        <w:tc>
          <w:tcPr>
            <w:tcW w:w="4262" w:type="dxa"/>
            <w:tcBorders>
              <w:top w:val="nil"/>
              <w:left w:val="single" w:sz="8" w:space="0" w:color="auto"/>
              <w:bottom w:val="single" w:sz="8" w:space="0" w:color="auto"/>
              <w:right w:val="single" w:sz="8" w:space="0" w:color="auto"/>
            </w:tcBorders>
            <w:shd w:val="clear" w:color="auto" w:fill="FFFFFF"/>
            <w:hideMark/>
          </w:tcPr>
          <w:p w:rsidR="00382F89" w:rsidRPr="00382F89" w:rsidRDefault="00382F89" w:rsidP="00382F89">
            <w:pPr>
              <w:spacing w:before="120" w:after="120" w:line="295" w:lineRule="atLeast"/>
              <w:rPr>
                <w:rFonts w:eastAsia="Times New Roman" w:cs="Times New Roman"/>
                <w:color w:val="000000"/>
                <w:sz w:val="18"/>
                <w:szCs w:val="18"/>
              </w:rPr>
            </w:pPr>
            <w:r w:rsidRPr="00382F89">
              <w:rPr>
                <w:rFonts w:eastAsia="Times New Roman" w:cs="Times New Roman"/>
                <w:color w:val="000000"/>
                <w:sz w:val="18"/>
                <w:szCs w:val="18"/>
              </w:rPr>
              <w:t>- Tập luyện</w:t>
            </w:r>
          </w:p>
        </w:tc>
        <w:tc>
          <w:tcPr>
            <w:tcW w:w="4263" w:type="dxa"/>
            <w:tcBorders>
              <w:top w:val="nil"/>
              <w:left w:val="nil"/>
              <w:bottom w:val="single" w:sz="8" w:space="0" w:color="auto"/>
              <w:right w:val="single" w:sz="8" w:space="0" w:color="auto"/>
            </w:tcBorders>
            <w:shd w:val="clear" w:color="auto" w:fill="FFFFFF"/>
            <w:hideMark/>
          </w:tcPr>
          <w:p w:rsidR="00382F89" w:rsidRPr="00382F89" w:rsidRDefault="00382F89" w:rsidP="00382F89">
            <w:pPr>
              <w:spacing w:before="120" w:after="120" w:line="295" w:lineRule="atLeast"/>
              <w:jc w:val="center"/>
              <w:rPr>
                <w:rFonts w:eastAsia="Times New Roman" w:cs="Times New Roman"/>
                <w:color w:val="000000"/>
                <w:sz w:val="18"/>
                <w:szCs w:val="18"/>
              </w:rPr>
            </w:pPr>
            <w:r w:rsidRPr="00382F89">
              <w:rPr>
                <w:rFonts w:eastAsia="Times New Roman" w:cs="Times New Roman"/>
                <w:color w:val="000000"/>
                <w:sz w:val="18"/>
                <w:szCs w:val="18"/>
              </w:rPr>
              <w:t>30.000</w:t>
            </w:r>
          </w:p>
        </w:tc>
      </w:tr>
      <w:tr w:rsidR="00382F89" w:rsidRPr="00382F89" w:rsidTr="00382F89">
        <w:trPr>
          <w:tblCellSpacing w:w="0" w:type="dxa"/>
        </w:trPr>
        <w:tc>
          <w:tcPr>
            <w:tcW w:w="4262" w:type="dxa"/>
            <w:tcBorders>
              <w:top w:val="nil"/>
              <w:left w:val="single" w:sz="8" w:space="0" w:color="auto"/>
              <w:bottom w:val="single" w:sz="8" w:space="0" w:color="auto"/>
              <w:right w:val="single" w:sz="8" w:space="0" w:color="auto"/>
            </w:tcBorders>
            <w:shd w:val="clear" w:color="auto" w:fill="FFFFFF"/>
            <w:hideMark/>
          </w:tcPr>
          <w:p w:rsidR="00382F89" w:rsidRPr="00382F89" w:rsidRDefault="00382F89" w:rsidP="00382F89">
            <w:pPr>
              <w:spacing w:before="120" w:after="120" w:line="340" w:lineRule="atLeast"/>
              <w:rPr>
                <w:rFonts w:eastAsia="Times New Roman" w:cs="Times New Roman"/>
                <w:color w:val="000000"/>
                <w:sz w:val="18"/>
                <w:szCs w:val="18"/>
              </w:rPr>
            </w:pPr>
            <w:r w:rsidRPr="00382F89">
              <w:rPr>
                <w:rFonts w:eastAsia="Times New Roman" w:cs="Times New Roman"/>
                <w:color w:val="000000"/>
                <w:sz w:val="18"/>
                <w:szCs w:val="18"/>
              </w:rPr>
              <w:t>- Tổng duyệt (tối đa 2 buổi)</w:t>
            </w:r>
          </w:p>
        </w:tc>
        <w:tc>
          <w:tcPr>
            <w:tcW w:w="4263" w:type="dxa"/>
            <w:tcBorders>
              <w:top w:val="nil"/>
              <w:left w:val="nil"/>
              <w:bottom w:val="single" w:sz="8" w:space="0" w:color="auto"/>
              <w:right w:val="single" w:sz="8" w:space="0" w:color="auto"/>
            </w:tcBorders>
            <w:shd w:val="clear" w:color="auto" w:fill="FFFFFF"/>
            <w:hideMark/>
          </w:tcPr>
          <w:p w:rsidR="00382F89" w:rsidRPr="00382F89" w:rsidRDefault="00382F89" w:rsidP="00382F89">
            <w:pPr>
              <w:spacing w:before="120" w:after="120" w:line="340" w:lineRule="atLeast"/>
              <w:jc w:val="center"/>
              <w:rPr>
                <w:rFonts w:eastAsia="Times New Roman" w:cs="Times New Roman"/>
                <w:color w:val="000000"/>
                <w:sz w:val="18"/>
                <w:szCs w:val="18"/>
              </w:rPr>
            </w:pPr>
            <w:r w:rsidRPr="00382F89">
              <w:rPr>
                <w:rFonts w:eastAsia="Times New Roman" w:cs="Times New Roman"/>
                <w:color w:val="000000"/>
                <w:sz w:val="18"/>
                <w:szCs w:val="18"/>
              </w:rPr>
              <w:t>40.000</w:t>
            </w:r>
          </w:p>
        </w:tc>
      </w:tr>
      <w:tr w:rsidR="00382F89" w:rsidRPr="00382F89" w:rsidTr="00382F89">
        <w:trPr>
          <w:tblCellSpacing w:w="0" w:type="dxa"/>
        </w:trPr>
        <w:tc>
          <w:tcPr>
            <w:tcW w:w="4262" w:type="dxa"/>
            <w:tcBorders>
              <w:top w:val="nil"/>
              <w:left w:val="single" w:sz="8" w:space="0" w:color="auto"/>
              <w:bottom w:val="single" w:sz="8" w:space="0" w:color="auto"/>
              <w:right w:val="single" w:sz="8" w:space="0" w:color="auto"/>
            </w:tcBorders>
            <w:shd w:val="clear" w:color="auto" w:fill="FFFFFF"/>
            <w:hideMark/>
          </w:tcPr>
          <w:p w:rsidR="00382F89" w:rsidRPr="00382F89" w:rsidRDefault="00382F89" w:rsidP="00382F89">
            <w:pPr>
              <w:spacing w:before="120" w:after="120" w:line="340" w:lineRule="atLeast"/>
              <w:rPr>
                <w:rFonts w:eastAsia="Times New Roman" w:cs="Times New Roman"/>
                <w:color w:val="000000"/>
                <w:sz w:val="18"/>
                <w:szCs w:val="18"/>
              </w:rPr>
            </w:pPr>
            <w:r w:rsidRPr="00382F89">
              <w:rPr>
                <w:rFonts w:eastAsia="Times New Roman" w:cs="Times New Roman"/>
                <w:color w:val="000000"/>
                <w:sz w:val="18"/>
                <w:szCs w:val="18"/>
              </w:rPr>
              <w:t>- Chính thức</w:t>
            </w:r>
          </w:p>
        </w:tc>
        <w:tc>
          <w:tcPr>
            <w:tcW w:w="4263" w:type="dxa"/>
            <w:tcBorders>
              <w:top w:val="nil"/>
              <w:left w:val="nil"/>
              <w:bottom w:val="single" w:sz="8" w:space="0" w:color="auto"/>
              <w:right w:val="single" w:sz="8" w:space="0" w:color="auto"/>
            </w:tcBorders>
            <w:shd w:val="clear" w:color="auto" w:fill="FFFFFF"/>
            <w:hideMark/>
          </w:tcPr>
          <w:p w:rsidR="00382F89" w:rsidRPr="00382F89" w:rsidRDefault="00382F89" w:rsidP="00382F89">
            <w:pPr>
              <w:spacing w:before="120" w:after="120" w:line="340" w:lineRule="atLeast"/>
              <w:jc w:val="center"/>
              <w:rPr>
                <w:rFonts w:eastAsia="Times New Roman" w:cs="Times New Roman"/>
                <w:color w:val="000000"/>
                <w:sz w:val="18"/>
                <w:szCs w:val="18"/>
              </w:rPr>
            </w:pPr>
            <w:r w:rsidRPr="00382F89">
              <w:rPr>
                <w:rFonts w:eastAsia="Times New Roman" w:cs="Times New Roman"/>
                <w:color w:val="000000"/>
                <w:sz w:val="18"/>
                <w:szCs w:val="18"/>
              </w:rPr>
              <w:t>70.000</w:t>
            </w:r>
          </w:p>
        </w:tc>
      </w:tr>
      <w:tr w:rsidR="00382F89" w:rsidRPr="00382F89" w:rsidTr="00382F89">
        <w:trPr>
          <w:tblCellSpacing w:w="0" w:type="dxa"/>
        </w:trPr>
        <w:tc>
          <w:tcPr>
            <w:tcW w:w="4262" w:type="dxa"/>
            <w:tcBorders>
              <w:top w:val="nil"/>
              <w:left w:val="single" w:sz="8" w:space="0" w:color="auto"/>
              <w:bottom w:val="single" w:sz="8" w:space="0" w:color="auto"/>
              <w:right w:val="single" w:sz="8" w:space="0" w:color="auto"/>
            </w:tcBorders>
            <w:shd w:val="clear" w:color="auto" w:fill="FFFFFF"/>
            <w:hideMark/>
          </w:tcPr>
          <w:p w:rsidR="00382F89" w:rsidRPr="00382F89" w:rsidRDefault="00382F89" w:rsidP="00382F89">
            <w:pPr>
              <w:spacing w:before="120" w:after="120" w:line="340" w:lineRule="atLeast"/>
              <w:rPr>
                <w:rFonts w:eastAsia="Times New Roman" w:cs="Times New Roman"/>
                <w:color w:val="000000"/>
                <w:sz w:val="18"/>
                <w:szCs w:val="18"/>
              </w:rPr>
            </w:pPr>
            <w:r w:rsidRPr="00382F89">
              <w:rPr>
                <w:rFonts w:eastAsia="Times New Roman" w:cs="Times New Roman"/>
                <w:color w:val="000000"/>
                <w:sz w:val="18"/>
                <w:szCs w:val="18"/>
              </w:rPr>
              <w:t>2. Giáo viên quản lý, hướng dẫn</w:t>
            </w:r>
          </w:p>
        </w:tc>
        <w:tc>
          <w:tcPr>
            <w:tcW w:w="4263" w:type="dxa"/>
            <w:tcBorders>
              <w:top w:val="nil"/>
              <w:left w:val="nil"/>
              <w:bottom w:val="single" w:sz="8" w:space="0" w:color="auto"/>
              <w:right w:val="single" w:sz="8" w:space="0" w:color="auto"/>
            </w:tcBorders>
            <w:shd w:val="clear" w:color="auto" w:fill="FFFFFF"/>
            <w:hideMark/>
          </w:tcPr>
          <w:p w:rsidR="00382F89" w:rsidRPr="00382F89" w:rsidRDefault="00382F89" w:rsidP="00382F89">
            <w:pPr>
              <w:spacing w:before="120" w:after="120" w:line="340" w:lineRule="atLeast"/>
              <w:jc w:val="center"/>
              <w:rPr>
                <w:rFonts w:eastAsia="Times New Roman" w:cs="Times New Roman"/>
                <w:color w:val="000000"/>
                <w:sz w:val="18"/>
                <w:szCs w:val="18"/>
              </w:rPr>
            </w:pPr>
            <w:r w:rsidRPr="00382F89">
              <w:rPr>
                <w:rFonts w:eastAsia="Times New Roman" w:cs="Times New Roman"/>
                <w:color w:val="000000"/>
                <w:sz w:val="18"/>
                <w:szCs w:val="18"/>
              </w:rPr>
              <w:t>60.000</w:t>
            </w:r>
          </w:p>
        </w:tc>
      </w:tr>
    </w:tbl>
    <w:p w:rsidR="00382F89" w:rsidRPr="00382F89" w:rsidRDefault="00382F89" w:rsidP="008539C2">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b/>
          <w:bCs/>
          <w:color w:val="000000"/>
          <w:sz w:val="24"/>
          <w:szCs w:val="24"/>
          <w:lang w:val="vi-VN"/>
        </w:rPr>
        <w:t>2. Đối với cấp huyện: </w:t>
      </w:r>
      <w:r w:rsidRPr="00382F89">
        <w:rPr>
          <w:rFonts w:eastAsia="Times New Roman" w:cs="Times New Roman"/>
          <w:color w:val="000000"/>
          <w:sz w:val="24"/>
          <w:szCs w:val="24"/>
          <w:lang w:val="vi-VN"/>
        </w:rPr>
        <w:t>Bằng 80% mức chi cấp tỉnh.</w:t>
      </w:r>
    </w:p>
    <w:p w:rsidR="00382F89" w:rsidRPr="00382F89" w:rsidRDefault="00382F89" w:rsidP="008539C2">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b/>
          <w:bCs/>
          <w:color w:val="000000"/>
          <w:sz w:val="24"/>
          <w:szCs w:val="24"/>
          <w:lang w:val="vi-VN"/>
        </w:rPr>
        <w:t>3. Đối với cấp xã: </w:t>
      </w:r>
      <w:r w:rsidRPr="00382F89">
        <w:rPr>
          <w:rFonts w:eastAsia="Times New Roman" w:cs="Times New Roman"/>
          <w:color w:val="000000"/>
          <w:sz w:val="24"/>
          <w:szCs w:val="24"/>
          <w:lang w:val="vi-VN"/>
        </w:rPr>
        <w:t>Bằng 60% mức chi cấp tỉnh.</w:t>
      </w:r>
    </w:p>
    <w:p w:rsidR="00382F89" w:rsidRPr="00382F89" w:rsidRDefault="00382F89" w:rsidP="008539C2">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b/>
          <w:bCs/>
          <w:color w:val="000000"/>
          <w:sz w:val="24"/>
          <w:szCs w:val="24"/>
          <w:lang w:val="vi-VN"/>
        </w:rPr>
        <w:t>Điều 2. </w:t>
      </w:r>
      <w:r w:rsidRPr="00382F89">
        <w:rPr>
          <w:rFonts w:eastAsia="Times New Roman" w:cs="Times New Roman"/>
          <w:color w:val="000000"/>
          <w:sz w:val="24"/>
          <w:szCs w:val="24"/>
          <w:lang w:val="vi-VN"/>
        </w:rPr>
        <w:t>Chánh Văn phòng Ủy ban nhân dân tỉnh, Giám đốc Sở Văn hóa, Thể thao và Du lịch, Giám đốc Sở Tài chính, Chủ tịch Ủy ban nhân dân các huyện, thành phố và Thủ trưởng các cơ quan, đơn vị có liên quan chịu trách nhiệm thi hành quyết định này.</w:t>
      </w:r>
    </w:p>
    <w:p w:rsidR="00382F89" w:rsidRPr="00382F89" w:rsidRDefault="00382F89" w:rsidP="008539C2">
      <w:pPr>
        <w:shd w:val="clear" w:color="auto" w:fill="FFFFFF"/>
        <w:spacing w:before="120" w:after="120" w:line="234" w:lineRule="atLeast"/>
        <w:ind w:firstLine="567"/>
        <w:rPr>
          <w:rFonts w:eastAsia="Times New Roman" w:cs="Times New Roman"/>
          <w:color w:val="000000"/>
          <w:sz w:val="24"/>
          <w:szCs w:val="24"/>
        </w:rPr>
      </w:pPr>
      <w:r w:rsidRPr="00382F89">
        <w:rPr>
          <w:rFonts w:eastAsia="Times New Roman" w:cs="Times New Roman"/>
          <w:color w:val="000000"/>
          <w:sz w:val="24"/>
          <w:szCs w:val="24"/>
          <w:lang w:val="vi-VN"/>
        </w:rPr>
        <w:t>Quyết định này có hiệu lực sau 10 ngày kể từ ngày ký./.</w:t>
      </w:r>
    </w:p>
    <w:p w:rsidR="00382F89" w:rsidRPr="00382F89" w:rsidRDefault="00382F89" w:rsidP="00382F89">
      <w:pPr>
        <w:shd w:val="clear" w:color="auto" w:fill="FFFFFF"/>
        <w:spacing w:before="120" w:after="120" w:line="234" w:lineRule="atLeast"/>
        <w:rPr>
          <w:rFonts w:eastAsia="Times New Roman" w:cs="Times New Roman"/>
          <w:color w:val="000000"/>
          <w:sz w:val="18"/>
          <w:szCs w:val="18"/>
        </w:rPr>
      </w:pPr>
      <w:r w:rsidRPr="00382F89">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2F89" w:rsidRPr="00382F89" w:rsidTr="00382F89">
        <w:trPr>
          <w:tblCellSpacing w:w="0" w:type="dxa"/>
        </w:trPr>
        <w:tc>
          <w:tcPr>
            <w:tcW w:w="4428" w:type="dxa"/>
            <w:shd w:val="clear" w:color="auto" w:fill="FFFFFF"/>
            <w:tcMar>
              <w:top w:w="0" w:type="dxa"/>
              <w:left w:w="108" w:type="dxa"/>
              <w:bottom w:w="0" w:type="dxa"/>
              <w:right w:w="108" w:type="dxa"/>
            </w:tcMar>
            <w:hideMark/>
          </w:tcPr>
          <w:p w:rsidR="00382F89" w:rsidRPr="00382F89" w:rsidRDefault="00382F89" w:rsidP="00382F89">
            <w:pPr>
              <w:spacing w:before="120" w:after="120" w:line="234" w:lineRule="atLeast"/>
              <w:rPr>
                <w:rFonts w:eastAsia="Times New Roman" w:cs="Times New Roman"/>
                <w:color w:val="000000"/>
                <w:sz w:val="24"/>
                <w:szCs w:val="24"/>
              </w:rPr>
            </w:pPr>
            <w:r w:rsidRPr="00382F89">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82F89" w:rsidRPr="00382F89" w:rsidRDefault="00382F89" w:rsidP="00382F89">
            <w:pPr>
              <w:spacing w:before="120" w:after="120" w:line="234" w:lineRule="atLeast"/>
              <w:jc w:val="center"/>
              <w:rPr>
                <w:rFonts w:eastAsia="Times New Roman" w:cs="Times New Roman"/>
                <w:color w:val="000000"/>
                <w:sz w:val="24"/>
                <w:szCs w:val="24"/>
              </w:rPr>
            </w:pPr>
            <w:r w:rsidRPr="00382F89">
              <w:rPr>
                <w:rFonts w:eastAsia="Times New Roman" w:cs="Times New Roman"/>
                <w:b/>
                <w:bCs/>
                <w:color w:val="000000"/>
                <w:sz w:val="24"/>
                <w:szCs w:val="24"/>
              </w:rPr>
              <w:t>TM. ỦY BAN NHÂN DÂN</w:t>
            </w:r>
            <w:r w:rsidRPr="00382F89">
              <w:rPr>
                <w:rFonts w:eastAsia="Times New Roman" w:cs="Times New Roman"/>
                <w:b/>
                <w:bCs/>
                <w:color w:val="000000"/>
                <w:sz w:val="24"/>
                <w:szCs w:val="24"/>
              </w:rPr>
              <w:br/>
              <w:t>CHỦ TỊCH</w:t>
            </w:r>
            <w:r w:rsidRPr="00382F89">
              <w:rPr>
                <w:rFonts w:eastAsia="Times New Roman" w:cs="Times New Roman"/>
                <w:b/>
                <w:bCs/>
                <w:color w:val="000000"/>
                <w:sz w:val="24"/>
                <w:szCs w:val="24"/>
              </w:rPr>
              <w:br/>
            </w:r>
            <w:r w:rsidRPr="00382F89">
              <w:rPr>
                <w:rFonts w:eastAsia="Times New Roman" w:cs="Times New Roman"/>
                <w:b/>
                <w:bCs/>
                <w:color w:val="000000"/>
                <w:sz w:val="24"/>
                <w:szCs w:val="24"/>
              </w:rPr>
              <w:br/>
            </w:r>
            <w:r w:rsidRPr="00382F89">
              <w:rPr>
                <w:rFonts w:eastAsia="Times New Roman" w:cs="Times New Roman"/>
                <w:b/>
                <w:bCs/>
                <w:color w:val="000000"/>
                <w:sz w:val="24"/>
                <w:szCs w:val="24"/>
              </w:rPr>
              <w:br/>
            </w:r>
            <w:r w:rsidRPr="00382F89">
              <w:rPr>
                <w:rFonts w:eastAsia="Times New Roman" w:cs="Times New Roman"/>
                <w:b/>
                <w:bCs/>
                <w:color w:val="000000"/>
                <w:sz w:val="24"/>
                <w:szCs w:val="24"/>
              </w:rPr>
              <w:br/>
            </w:r>
            <w:r w:rsidRPr="00382F89">
              <w:rPr>
                <w:rFonts w:eastAsia="Times New Roman" w:cs="Times New Roman"/>
                <w:b/>
                <w:bCs/>
                <w:color w:val="000000"/>
                <w:sz w:val="24"/>
                <w:szCs w:val="24"/>
              </w:rPr>
              <w:br/>
              <w:t>Nguyễn Văn Hùng</w:t>
            </w:r>
          </w:p>
        </w:tc>
      </w:tr>
    </w:tbl>
    <w:p w:rsidR="009F7314" w:rsidRPr="00DA1DF9" w:rsidRDefault="009F7314">
      <w:pPr>
        <w:rPr>
          <w:rFonts w:cs="Times New Roman"/>
          <w:sz w:val="24"/>
          <w:szCs w:val="24"/>
        </w:rPr>
      </w:pPr>
    </w:p>
    <w:sectPr w:rsidR="009F7314" w:rsidRPr="00DA1DF9" w:rsidSect="00382F89">
      <w:pgSz w:w="11909" w:h="16834" w:code="9"/>
      <w:pgMar w:top="709"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89"/>
    <w:rsid w:val="00311660"/>
    <w:rsid w:val="00382F89"/>
    <w:rsid w:val="008539C2"/>
    <w:rsid w:val="009F7314"/>
    <w:rsid w:val="00DA1DF9"/>
    <w:rsid w:val="00D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F8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82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F8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8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nghi-dinh-61-2002-nd-cp-che-do-nhuan-but-4952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8/2013/NQ-H%C4%90ND&amp;match=True&amp;area=2&amp;lan=1&amp;bday=11/12/2013&amp;eday=11/12/2013" TargetMode="External"/><Relationship Id="rId5" Type="http://schemas.openxmlformats.org/officeDocument/2006/relationships/hyperlink" Target="https://thuvienphapluat.vn/van-ban/tai-chinh-nha-nuoc/thong-tu-lien-tich-200-2011-ttlt-btc-bvhttdl-che-do-chi-tieu-tai-chinh-133808.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dcterms:created xsi:type="dcterms:W3CDTF">2022-03-09T08:12:00Z</dcterms:created>
  <dcterms:modified xsi:type="dcterms:W3CDTF">2022-03-09T08:12:00Z</dcterms:modified>
</cp:coreProperties>
</file>